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A7C180" w14:textId="77777777" w:rsidR="000840D0" w:rsidRPr="00456D25" w:rsidRDefault="00000000">
      <w:pPr>
        <w:pStyle w:val="Heading1"/>
        <w:jc w:val="both"/>
        <w:rPr>
          <w:color w:val="auto"/>
        </w:rPr>
      </w:pPr>
      <w:r w:rsidRPr="00456D25">
        <w:rPr>
          <w:rFonts w:ascii="Times New Roman" w:eastAsia="Times New Roman" w:hAnsi="Times New Roman"/>
          <w:color w:val="auto"/>
        </w:rPr>
        <w:t>Supplemental Material</w:t>
      </w:r>
    </w:p>
    <w:p w14:paraId="6AB6FA1A" w14:textId="77777777" w:rsidR="000840D0" w:rsidRPr="00456D25" w:rsidRDefault="00000000">
      <w:pPr>
        <w:keepNext/>
        <w:jc w:val="both"/>
      </w:pPr>
      <w:r w:rsidRPr="00456D25">
        <w:rPr>
          <w:noProof/>
        </w:rPr>
        <w:drawing>
          <wp:inline distT="0" distB="0" distL="114300" distR="114300" wp14:anchorId="2F6BE64E" wp14:editId="596F1673">
            <wp:extent cx="5212080" cy="6539230"/>
            <wp:effectExtent l="0" t="0" r="7620" b="139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653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5B6E7" w14:textId="77777777" w:rsidR="000840D0" w:rsidRPr="00456D25" w:rsidRDefault="00000000">
      <w:pPr>
        <w:pStyle w:val="Caption"/>
        <w:jc w:val="both"/>
        <w:rPr>
          <w:b w:val="0"/>
          <w:bCs w:val="0"/>
          <w:color w:val="auto"/>
        </w:rPr>
      </w:pPr>
      <w:r w:rsidRPr="00456D25">
        <w:rPr>
          <w:b w:val="0"/>
          <w:bCs w:val="0"/>
          <w:color w:val="auto"/>
        </w:rPr>
        <w:t xml:space="preserve">Supplemental Fig. S1 Heat map of the 40 most statistically significant strict differentially expressed transcripts. Values are row-wise z scores of </w:t>
      </w:r>
      <w:proofErr w:type="gramStart"/>
      <w:r w:rsidRPr="00456D25">
        <w:rPr>
          <w:b w:val="0"/>
          <w:bCs w:val="0"/>
          <w:color w:val="auto"/>
        </w:rPr>
        <w:t>log</w:t>
      </w:r>
      <w:proofErr w:type="gramEnd"/>
      <w:r w:rsidRPr="00456D25">
        <w:rPr>
          <w:b w:val="0"/>
          <w:bCs w:val="0"/>
          <w:color w:val="auto"/>
        </w:rPr>
        <w:t>₂-transformed expression</w:t>
      </w:r>
    </w:p>
    <w:p w14:paraId="58666E45" w14:textId="77777777" w:rsidR="000840D0" w:rsidRPr="00456D25" w:rsidRDefault="00000000">
      <w:pPr>
        <w:keepNext/>
        <w:pageBreakBefore/>
        <w:jc w:val="both"/>
      </w:pPr>
      <w:r w:rsidRPr="00456D25">
        <w:rPr>
          <w:noProof/>
        </w:rPr>
        <w:lastRenderedPageBreak/>
        <w:drawing>
          <wp:inline distT="0" distB="0" distL="114300" distR="114300" wp14:anchorId="15BD2AFF" wp14:editId="15273DB9">
            <wp:extent cx="5212080" cy="5307965"/>
            <wp:effectExtent l="0" t="0" r="762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5308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1294D" w14:textId="77777777" w:rsidR="000840D0" w:rsidRPr="00456D25" w:rsidRDefault="00000000">
      <w:pPr>
        <w:pStyle w:val="Caption"/>
        <w:jc w:val="both"/>
        <w:rPr>
          <w:b w:val="0"/>
          <w:bCs w:val="0"/>
          <w:color w:val="auto"/>
        </w:rPr>
      </w:pPr>
      <w:r w:rsidRPr="00456D25">
        <w:rPr>
          <w:b w:val="0"/>
          <w:bCs w:val="0"/>
          <w:color w:val="auto"/>
        </w:rPr>
        <w:t xml:space="preserve">Supplemental Fig. S2 Selected transcripts spanning redox </w:t>
      </w:r>
      <w:proofErr w:type="spellStart"/>
      <w:r w:rsidRPr="00456D25">
        <w:rPr>
          <w:b w:val="0"/>
          <w:bCs w:val="0"/>
          <w:color w:val="auto"/>
        </w:rPr>
        <w:t>defense</w:t>
      </w:r>
      <w:proofErr w:type="spellEnd"/>
      <w:r w:rsidRPr="00456D25">
        <w:rPr>
          <w:b w:val="0"/>
          <w:bCs w:val="0"/>
          <w:color w:val="auto"/>
        </w:rPr>
        <w:t>, inflammation, regulated cell death, gill barrier and ion regulation, and HPI-axis and energy metabolism. Filled points indicate FDR &lt; 0.05; asterisks also indicate |</w:t>
      </w:r>
      <w:proofErr w:type="spellStart"/>
      <w:r w:rsidRPr="00456D25">
        <w:rPr>
          <w:b w:val="0"/>
          <w:bCs w:val="0"/>
          <w:color w:val="auto"/>
        </w:rPr>
        <w:t>log₂FC</w:t>
      </w:r>
      <w:proofErr w:type="spellEnd"/>
      <w:r w:rsidRPr="00456D25">
        <w:rPr>
          <w:b w:val="0"/>
          <w:bCs w:val="0"/>
          <w:color w:val="auto"/>
        </w:rPr>
        <w:t>| ≥ 1</w:t>
      </w:r>
    </w:p>
    <w:p w14:paraId="7DBA5FD0" w14:textId="77777777" w:rsidR="000840D0" w:rsidRPr="00456D25" w:rsidRDefault="00000000">
      <w:pPr>
        <w:keepNext/>
        <w:pageBreakBefore/>
        <w:jc w:val="both"/>
      </w:pPr>
      <w:r w:rsidRPr="00456D25">
        <w:rPr>
          <w:noProof/>
        </w:rPr>
        <w:lastRenderedPageBreak/>
        <w:drawing>
          <wp:inline distT="0" distB="0" distL="114300" distR="114300" wp14:anchorId="1D77A7D1" wp14:editId="126DCCF4">
            <wp:extent cx="5669280" cy="2052320"/>
            <wp:effectExtent l="0" t="0" r="7620" b="50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0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A9DAE" w14:textId="77777777" w:rsidR="000840D0" w:rsidRPr="00456D25" w:rsidRDefault="00000000">
      <w:pPr>
        <w:pStyle w:val="Caption"/>
        <w:jc w:val="both"/>
        <w:rPr>
          <w:b w:val="0"/>
          <w:bCs w:val="0"/>
          <w:color w:val="auto"/>
        </w:rPr>
      </w:pPr>
      <w:r w:rsidRPr="00456D25">
        <w:rPr>
          <w:b w:val="0"/>
          <w:bCs w:val="0"/>
          <w:color w:val="auto"/>
        </w:rPr>
        <w:t xml:space="preserve">Supplemental Fig. S3 Representative low-power H&amp;E-stained gill sections following simulated transport in juvenile </w:t>
      </w:r>
      <w:proofErr w:type="spellStart"/>
      <w:r w:rsidRPr="00456D25">
        <w:rPr>
          <w:b w:val="0"/>
          <w:bCs w:val="0"/>
          <w:i/>
          <w:iCs/>
          <w:color w:val="auto"/>
        </w:rPr>
        <w:t>Xenocypris</w:t>
      </w:r>
      <w:proofErr w:type="spellEnd"/>
      <w:r w:rsidRPr="00456D25">
        <w:rPr>
          <w:b w:val="0"/>
          <w:bCs w:val="0"/>
          <w:i/>
          <w:iCs/>
          <w:color w:val="auto"/>
        </w:rPr>
        <w:t xml:space="preserve"> </w:t>
      </w:r>
      <w:proofErr w:type="spellStart"/>
      <w:r w:rsidRPr="00456D25">
        <w:rPr>
          <w:b w:val="0"/>
          <w:bCs w:val="0"/>
          <w:i/>
          <w:iCs/>
          <w:color w:val="auto"/>
        </w:rPr>
        <w:t>davidi</w:t>
      </w:r>
      <w:proofErr w:type="spellEnd"/>
      <w:r w:rsidRPr="00456D25">
        <w:rPr>
          <w:b w:val="0"/>
          <w:bCs w:val="0"/>
          <w:color w:val="auto"/>
        </w:rPr>
        <w:t xml:space="preserve">. (A) Transported blank control without </w:t>
      </w:r>
      <w:proofErr w:type="spellStart"/>
      <w:r w:rsidRPr="00456D25">
        <w:rPr>
          <w:b w:val="0"/>
          <w:bCs w:val="0"/>
          <w:color w:val="auto"/>
        </w:rPr>
        <w:t>anesthetic</w:t>
      </w:r>
      <w:proofErr w:type="spellEnd"/>
      <w:r w:rsidRPr="00456D25">
        <w:rPr>
          <w:b w:val="0"/>
          <w:bCs w:val="0"/>
          <w:color w:val="auto"/>
        </w:rPr>
        <w:t>; (B) fish transported with 34 mg L⁻¹ MS-222 at the selected A2 concentration. The red dashed outline and arrows identify a representative focus of irregular, folded and partly apposed secondary-lamellar profiles in the blank-control field. Blue arrows indicate regions with comparatively regular and clearly separated secondary lamellae in the MS-222 field. No quantitative histopathological comparison was performed. Scale bars = 500 μm. Images were cropped and assembled without stain adjustment, retouching, denoising or alteration of tissue morphology.</w:t>
      </w:r>
    </w:p>
    <w:p w14:paraId="36800470" w14:textId="77777777" w:rsidR="000840D0" w:rsidRPr="00456D25" w:rsidRDefault="00000000">
      <w:r w:rsidRPr="00456D25">
        <w:br w:type="page"/>
      </w:r>
    </w:p>
    <w:p w14:paraId="683709A3" w14:textId="77777777" w:rsidR="000840D0" w:rsidRPr="00456D25" w:rsidRDefault="00000000">
      <w:pPr>
        <w:pStyle w:val="Caption"/>
        <w:jc w:val="both"/>
        <w:rPr>
          <w:b w:val="0"/>
          <w:bCs w:val="0"/>
          <w:color w:val="auto"/>
        </w:rPr>
      </w:pPr>
      <w:r w:rsidRPr="00456D25">
        <w:rPr>
          <w:color w:val="auto"/>
        </w:rPr>
        <w:lastRenderedPageBreak/>
        <w:t xml:space="preserve">Supplemental Table S1 </w:t>
      </w:r>
      <w:r w:rsidRPr="00456D25">
        <w:rPr>
          <w:b w:val="0"/>
          <w:bCs w:val="0"/>
          <w:color w:val="auto"/>
        </w:rPr>
        <w:t>Selected transcript-level responses supporting the integrated result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4"/>
        <w:gridCol w:w="3816"/>
        <w:gridCol w:w="1080"/>
        <w:gridCol w:w="1656"/>
      </w:tblGrid>
      <w:tr w:rsidR="000840D0" w:rsidRPr="00456D25" w14:paraId="3EF40014" w14:textId="77777777">
        <w:trPr>
          <w:tblHeader/>
          <w:jc w:val="center"/>
        </w:trPr>
        <w:tc>
          <w:tcPr>
            <w:tcW w:w="1944" w:type="dxa"/>
            <w:tcBorders>
              <w:top w:val="single" w:sz="4" w:space="0" w:color="auto"/>
              <w:bottom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79A0F6" w14:textId="77777777" w:rsidR="000840D0" w:rsidRPr="00456D25" w:rsidRDefault="00000000">
            <w:pPr>
              <w:jc w:val="both"/>
            </w:pPr>
            <w:r w:rsidRPr="00456D25">
              <w:rPr>
                <w:b/>
              </w:rPr>
              <w:t>Functional module</w:t>
            </w:r>
          </w:p>
        </w:tc>
        <w:tc>
          <w:tcPr>
            <w:tcW w:w="3816" w:type="dxa"/>
            <w:tcBorders>
              <w:top w:val="single" w:sz="4" w:space="0" w:color="auto"/>
              <w:bottom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20C2AD" w14:textId="77777777" w:rsidR="000840D0" w:rsidRPr="00456D25" w:rsidRDefault="00000000">
            <w:pPr>
              <w:jc w:val="both"/>
            </w:pPr>
            <w:r w:rsidRPr="00456D25">
              <w:rPr>
                <w:b/>
              </w:rPr>
              <w:t>Homology-derived annotation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D9415D" w14:textId="77777777" w:rsidR="000840D0" w:rsidRPr="00456D25" w:rsidRDefault="00000000">
            <w:pPr>
              <w:jc w:val="both"/>
            </w:pPr>
            <w:r w:rsidRPr="00456D25">
              <w:rPr>
                <w:b/>
              </w:rPr>
              <w:t>log₂FC</w:t>
            </w: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AD5072" w14:textId="77777777" w:rsidR="000840D0" w:rsidRPr="00456D25" w:rsidRDefault="00000000">
            <w:pPr>
              <w:jc w:val="both"/>
            </w:pPr>
            <w:r w:rsidRPr="00456D25">
              <w:rPr>
                <w:b/>
              </w:rPr>
              <w:t>FDR</w:t>
            </w:r>
          </w:p>
        </w:tc>
      </w:tr>
      <w:tr w:rsidR="000840D0" w:rsidRPr="00456D25" w14:paraId="7045E026" w14:textId="77777777">
        <w:trPr>
          <w:jc w:val="center"/>
        </w:trPr>
        <w:tc>
          <w:tcPr>
            <w:tcW w:w="1944" w:type="dxa"/>
            <w:tcBorders>
              <w:top w:val="single" w:sz="4" w:space="0" w:color="auto"/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B3D0DD" w14:textId="77777777" w:rsidR="000840D0" w:rsidRPr="00456D25" w:rsidRDefault="00000000">
            <w:pPr>
              <w:jc w:val="both"/>
            </w:pPr>
            <w:r w:rsidRPr="00456D25">
              <w:t>Redox</w:t>
            </w:r>
          </w:p>
        </w:tc>
        <w:tc>
          <w:tcPr>
            <w:tcW w:w="3816" w:type="dxa"/>
            <w:tcBorders>
              <w:top w:val="single" w:sz="4" w:space="0" w:color="auto"/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6080B4" w14:textId="77777777" w:rsidR="000840D0" w:rsidRPr="00456D25" w:rsidRDefault="00000000">
            <w:pPr>
              <w:jc w:val="both"/>
            </w:pPr>
            <w:r w:rsidRPr="00456D25">
              <w:rPr>
                <w:i/>
              </w:rPr>
              <w:t>GGT1-like</w:t>
            </w:r>
          </w:p>
        </w:tc>
        <w:tc>
          <w:tcPr>
            <w:tcW w:w="1080" w:type="dxa"/>
            <w:tcBorders>
              <w:top w:val="single" w:sz="4" w:space="0" w:color="auto"/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36721A" w14:textId="77777777" w:rsidR="000840D0" w:rsidRPr="00456D25" w:rsidRDefault="00000000">
            <w:pPr>
              <w:jc w:val="both"/>
            </w:pPr>
            <w:r w:rsidRPr="00456D25">
              <w:t>3.595</w:t>
            </w:r>
          </w:p>
        </w:tc>
        <w:tc>
          <w:tcPr>
            <w:tcW w:w="1656" w:type="dxa"/>
            <w:tcBorders>
              <w:top w:val="single" w:sz="4" w:space="0" w:color="auto"/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C41AD3" w14:textId="77777777" w:rsidR="000840D0" w:rsidRPr="00456D25" w:rsidRDefault="00000000">
            <w:pPr>
              <w:jc w:val="both"/>
            </w:pPr>
            <w:r w:rsidRPr="00456D25">
              <w:t>1.40 × 10⁻⁵</w:t>
            </w:r>
          </w:p>
        </w:tc>
      </w:tr>
      <w:tr w:rsidR="000840D0" w:rsidRPr="00456D25" w14:paraId="7ECE8290" w14:textId="77777777">
        <w:trPr>
          <w:jc w:val="center"/>
        </w:trPr>
        <w:tc>
          <w:tcPr>
            <w:tcW w:w="1944" w:type="dxa"/>
            <w:tcBorders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B5074B" w14:textId="77777777" w:rsidR="000840D0" w:rsidRPr="00456D25" w:rsidRDefault="00000000">
            <w:pPr>
              <w:jc w:val="both"/>
            </w:pPr>
            <w:r w:rsidRPr="00456D25">
              <w:t>Redox</w:t>
            </w:r>
          </w:p>
        </w:tc>
        <w:tc>
          <w:tcPr>
            <w:tcW w:w="3816" w:type="dxa"/>
            <w:tcBorders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E59AE5" w14:textId="77777777" w:rsidR="000840D0" w:rsidRPr="00456D25" w:rsidRDefault="00000000">
            <w:pPr>
              <w:jc w:val="both"/>
            </w:pPr>
            <w:r w:rsidRPr="00456D25">
              <w:rPr>
                <w:i/>
              </w:rPr>
              <w:t>GGT5-like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740415" w14:textId="77777777" w:rsidR="000840D0" w:rsidRPr="00456D25" w:rsidRDefault="00000000">
            <w:pPr>
              <w:jc w:val="both"/>
            </w:pPr>
            <w:r w:rsidRPr="00456D25">
              <w:t>1.658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CD58A5" w14:textId="77777777" w:rsidR="000840D0" w:rsidRPr="00456D25" w:rsidRDefault="00000000">
            <w:pPr>
              <w:jc w:val="both"/>
            </w:pPr>
            <w:r w:rsidRPr="00456D25">
              <w:t>6.36 × 10⁻¹⁴</w:t>
            </w:r>
          </w:p>
        </w:tc>
      </w:tr>
      <w:tr w:rsidR="000840D0" w:rsidRPr="00456D25" w14:paraId="755467DE" w14:textId="77777777">
        <w:trPr>
          <w:jc w:val="center"/>
        </w:trPr>
        <w:tc>
          <w:tcPr>
            <w:tcW w:w="1944" w:type="dxa"/>
            <w:tcBorders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73B93C" w14:textId="77777777" w:rsidR="000840D0" w:rsidRPr="00456D25" w:rsidRDefault="00000000">
            <w:pPr>
              <w:jc w:val="both"/>
            </w:pPr>
            <w:r w:rsidRPr="00456D25">
              <w:t>Redox</w:t>
            </w:r>
          </w:p>
        </w:tc>
        <w:tc>
          <w:tcPr>
            <w:tcW w:w="3816" w:type="dxa"/>
            <w:tcBorders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96146E" w14:textId="77777777" w:rsidR="000840D0" w:rsidRPr="00456D25" w:rsidRDefault="00000000">
            <w:pPr>
              <w:jc w:val="both"/>
            </w:pPr>
            <w:r w:rsidRPr="00456D25">
              <w:rPr>
                <w:i/>
              </w:rPr>
              <w:t>GSTP-like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9A8D70" w14:textId="77777777" w:rsidR="000840D0" w:rsidRPr="00456D25" w:rsidRDefault="00000000">
            <w:pPr>
              <w:jc w:val="both"/>
            </w:pPr>
            <w:r w:rsidRPr="00456D25">
              <w:t>1.867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30D47C" w14:textId="77777777" w:rsidR="000840D0" w:rsidRPr="00456D25" w:rsidRDefault="00000000">
            <w:pPr>
              <w:jc w:val="both"/>
            </w:pPr>
            <w:r w:rsidRPr="00456D25">
              <w:t>5.72 × 10⁻⁸</w:t>
            </w:r>
          </w:p>
        </w:tc>
      </w:tr>
      <w:tr w:rsidR="000840D0" w:rsidRPr="00456D25" w14:paraId="2AC6EA1D" w14:textId="77777777">
        <w:trPr>
          <w:jc w:val="center"/>
        </w:trPr>
        <w:tc>
          <w:tcPr>
            <w:tcW w:w="1944" w:type="dxa"/>
            <w:tcBorders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21B326" w14:textId="77777777" w:rsidR="000840D0" w:rsidRPr="00456D25" w:rsidRDefault="00000000">
            <w:pPr>
              <w:jc w:val="both"/>
            </w:pPr>
            <w:r w:rsidRPr="00456D25">
              <w:t>Redox</w:t>
            </w:r>
          </w:p>
        </w:tc>
        <w:tc>
          <w:tcPr>
            <w:tcW w:w="3816" w:type="dxa"/>
            <w:tcBorders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E28A41" w14:textId="77777777" w:rsidR="000840D0" w:rsidRPr="00456D25" w:rsidRDefault="00000000">
            <w:pPr>
              <w:jc w:val="both"/>
            </w:pPr>
            <w:r w:rsidRPr="00456D25">
              <w:rPr>
                <w:i/>
              </w:rPr>
              <w:t>GPX8-like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DEA41A" w14:textId="77777777" w:rsidR="000840D0" w:rsidRPr="00456D25" w:rsidRDefault="00000000">
            <w:pPr>
              <w:jc w:val="both"/>
            </w:pPr>
            <w:r w:rsidRPr="00456D25">
              <w:t>1.761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4A2DAC" w14:textId="77777777" w:rsidR="000840D0" w:rsidRPr="00456D25" w:rsidRDefault="00000000">
            <w:pPr>
              <w:jc w:val="both"/>
            </w:pPr>
            <w:r w:rsidRPr="00456D25">
              <w:t>0.00487</w:t>
            </w:r>
          </w:p>
        </w:tc>
      </w:tr>
      <w:tr w:rsidR="000840D0" w:rsidRPr="00456D25" w14:paraId="36FCACD7" w14:textId="77777777">
        <w:trPr>
          <w:jc w:val="center"/>
        </w:trPr>
        <w:tc>
          <w:tcPr>
            <w:tcW w:w="1944" w:type="dxa"/>
            <w:tcBorders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103114" w14:textId="77777777" w:rsidR="000840D0" w:rsidRPr="00456D25" w:rsidRDefault="00000000">
            <w:pPr>
              <w:jc w:val="both"/>
            </w:pPr>
            <w:r w:rsidRPr="00456D25">
              <w:t>Inflammation</w:t>
            </w:r>
          </w:p>
        </w:tc>
        <w:tc>
          <w:tcPr>
            <w:tcW w:w="3816" w:type="dxa"/>
            <w:tcBorders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379E3E" w14:textId="77777777" w:rsidR="000840D0" w:rsidRPr="00456D25" w:rsidRDefault="00000000">
            <w:pPr>
              <w:jc w:val="both"/>
            </w:pPr>
            <w:r w:rsidRPr="00456D25">
              <w:rPr>
                <w:i/>
              </w:rPr>
              <w:t>PTGS2-like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BE590F" w14:textId="77777777" w:rsidR="000840D0" w:rsidRPr="00456D25" w:rsidRDefault="00000000">
            <w:pPr>
              <w:jc w:val="both"/>
            </w:pPr>
            <w:r w:rsidRPr="00456D25">
              <w:t>−1.848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6B788D" w14:textId="77777777" w:rsidR="000840D0" w:rsidRPr="00456D25" w:rsidRDefault="00000000">
            <w:pPr>
              <w:jc w:val="both"/>
            </w:pPr>
            <w:r w:rsidRPr="00456D25">
              <w:t>1.93 × 10⁻⁸</w:t>
            </w:r>
          </w:p>
        </w:tc>
      </w:tr>
      <w:tr w:rsidR="000840D0" w:rsidRPr="00456D25" w14:paraId="161A9A01" w14:textId="77777777">
        <w:trPr>
          <w:jc w:val="center"/>
        </w:trPr>
        <w:tc>
          <w:tcPr>
            <w:tcW w:w="1944" w:type="dxa"/>
            <w:tcBorders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7F7213" w14:textId="77777777" w:rsidR="000840D0" w:rsidRPr="00456D25" w:rsidRDefault="00000000">
            <w:pPr>
              <w:jc w:val="both"/>
            </w:pPr>
            <w:r w:rsidRPr="00456D25">
              <w:t>Inflammation</w:t>
            </w:r>
          </w:p>
        </w:tc>
        <w:tc>
          <w:tcPr>
            <w:tcW w:w="3816" w:type="dxa"/>
            <w:tcBorders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47FEB2" w14:textId="77777777" w:rsidR="000840D0" w:rsidRPr="00456D25" w:rsidRDefault="00000000">
            <w:pPr>
              <w:jc w:val="both"/>
            </w:pPr>
            <w:r w:rsidRPr="00456D25">
              <w:rPr>
                <w:i/>
              </w:rPr>
              <w:t>IL17C-like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02CA8F" w14:textId="77777777" w:rsidR="000840D0" w:rsidRPr="00456D25" w:rsidRDefault="00000000">
            <w:pPr>
              <w:jc w:val="both"/>
            </w:pPr>
            <w:r w:rsidRPr="00456D25">
              <w:t>−3.242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2185E5" w14:textId="77777777" w:rsidR="000840D0" w:rsidRPr="00456D25" w:rsidRDefault="00000000">
            <w:pPr>
              <w:jc w:val="both"/>
            </w:pPr>
            <w:r w:rsidRPr="00456D25">
              <w:t>4.47 × 10⁻⁶</w:t>
            </w:r>
          </w:p>
        </w:tc>
      </w:tr>
      <w:tr w:rsidR="000840D0" w:rsidRPr="00456D25" w14:paraId="42D00A5B" w14:textId="77777777">
        <w:trPr>
          <w:jc w:val="center"/>
        </w:trPr>
        <w:tc>
          <w:tcPr>
            <w:tcW w:w="1944" w:type="dxa"/>
            <w:tcBorders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92DCED" w14:textId="77777777" w:rsidR="000840D0" w:rsidRPr="00456D25" w:rsidRDefault="00000000">
            <w:pPr>
              <w:jc w:val="both"/>
            </w:pPr>
            <w:r w:rsidRPr="00456D25">
              <w:t>Inflammation</w:t>
            </w:r>
          </w:p>
        </w:tc>
        <w:tc>
          <w:tcPr>
            <w:tcW w:w="3816" w:type="dxa"/>
            <w:tcBorders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322B4B" w14:textId="77777777" w:rsidR="000840D0" w:rsidRPr="00456D25" w:rsidRDefault="00000000">
            <w:pPr>
              <w:jc w:val="both"/>
            </w:pPr>
            <w:r w:rsidRPr="00456D25">
              <w:rPr>
                <w:i/>
              </w:rPr>
              <w:t>IL8-like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B3A2C1" w14:textId="77777777" w:rsidR="000840D0" w:rsidRPr="00456D25" w:rsidRDefault="00000000">
            <w:pPr>
              <w:jc w:val="both"/>
            </w:pPr>
            <w:r w:rsidRPr="00456D25">
              <w:t>−1.304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779D07" w14:textId="77777777" w:rsidR="000840D0" w:rsidRPr="00456D25" w:rsidRDefault="00000000">
            <w:pPr>
              <w:jc w:val="both"/>
            </w:pPr>
            <w:r w:rsidRPr="00456D25">
              <w:t>5.45 × 10⁻⁵</w:t>
            </w:r>
          </w:p>
        </w:tc>
      </w:tr>
      <w:tr w:rsidR="000840D0" w:rsidRPr="00456D25" w14:paraId="58B3786B" w14:textId="77777777">
        <w:trPr>
          <w:jc w:val="center"/>
        </w:trPr>
        <w:tc>
          <w:tcPr>
            <w:tcW w:w="1944" w:type="dxa"/>
            <w:tcBorders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2A25CB" w14:textId="77777777" w:rsidR="000840D0" w:rsidRPr="00456D25" w:rsidRDefault="00000000">
            <w:pPr>
              <w:jc w:val="both"/>
            </w:pPr>
            <w:r w:rsidRPr="00456D25">
              <w:t>Inflammation</w:t>
            </w:r>
          </w:p>
        </w:tc>
        <w:tc>
          <w:tcPr>
            <w:tcW w:w="3816" w:type="dxa"/>
            <w:tcBorders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F8A354" w14:textId="77777777" w:rsidR="000840D0" w:rsidRPr="00456D25" w:rsidRDefault="00000000">
            <w:pPr>
              <w:jc w:val="both"/>
            </w:pPr>
            <w:r w:rsidRPr="00456D25">
              <w:rPr>
                <w:i/>
              </w:rPr>
              <w:t>TNF-like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9EAB67" w14:textId="77777777" w:rsidR="000840D0" w:rsidRPr="00456D25" w:rsidRDefault="00000000">
            <w:pPr>
              <w:jc w:val="both"/>
            </w:pPr>
            <w:r w:rsidRPr="00456D25">
              <w:t>−2.155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2258BE" w14:textId="77777777" w:rsidR="000840D0" w:rsidRPr="00456D25" w:rsidRDefault="00000000">
            <w:pPr>
              <w:jc w:val="both"/>
            </w:pPr>
            <w:r w:rsidRPr="00456D25">
              <w:t>7.80 × 10⁻⁸</w:t>
            </w:r>
          </w:p>
        </w:tc>
      </w:tr>
      <w:tr w:rsidR="000840D0" w:rsidRPr="00456D25" w14:paraId="7B9801D0" w14:textId="77777777">
        <w:trPr>
          <w:jc w:val="center"/>
        </w:trPr>
        <w:tc>
          <w:tcPr>
            <w:tcW w:w="1944" w:type="dxa"/>
            <w:tcBorders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1F8366" w14:textId="77777777" w:rsidR="000840D0" w:rsidRPr="00456D25" w:rsidRDefault="00000000">
            <w:pPr>
              <w:jc w:val="both"/>
            </w:pPr>
            <w:r w:rsidRPr="00456D25">
              <w:t>Cell death</w:t>
            </w:r>
          </w:p>
        </w:tc>
        <w:tc>
          <w:tcPr>
            <w:tcW w:w="3816" w:type="dxa"/>
            <w:tcBorders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00DAC9" w14:textId="77777777" w:rsidR="000840D0" w:rsidRPr="00456D25" w:rsidRDefault="00000000">
            <w:pPr>
              <w:jc w:val="both"/>
            </w:pPr>
            <w:r w:rsidRPr="00456D25">
              <w:rPr>
                <w:i/>
              </w:rPr>
              <w:t>Caspase-like</w:t>
            </w:r>
            <w:r w:rsidRPr="00456D25">
              <w:t xml:space="preserve"> A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D63F3C" w14:textId="77777777" w:rsidR="000840D0" w:rsidRPr="00456D25" w:rsidRDefault="00000000">
            <w:pPr>
              <w:jc w:val="both"/>
            </w:pPr>
            <w:r w:rsidRPr="00456D25">
              <w:t>1.384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44E87D" w14:textId="77777777" w:rsidR="000840D0" w:rsidRPr="00456D25" w:rsidRDefault="00000000">
            <w:pPr>
              <w:jc w:val="both"/>
            </w:pPr>
            <w:r w:rsidRPr="00456D25">
              <w:t>1.10 × 10⁻⁴</w:t>
            </w:r>
          </w:p>
        </w:tc>
      </w:tr>
      <w:tr w:rsidR="000840D0" w:rsidRPr="00456D25" w14:paraId="7DCB7B3E" w14:textId="77777777">
        <w:trPr>
          <w:jc w:val="center"/>
        </w:trPr>
        <w:tc>
          <w:tcPr>
            <w:tcW w:w="1944" w:type="dxa"/>
            <w:tcBorders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8A72E4" w14:textId="77777777" w:rsidR="000840D0" w:rsidRPr="00456D25" w:rsidRDefault="00000000">
            <w:pPr>
              <w:jc w:val="both"/>
            </w:pPr>
            <w:r w:rsidRPr="00456D25">
              <w:t>Cell death</w:t>
            </w:r>
          </w:p>
        </w:tc>
        <w:tc>
          <w:tcPr>
            <w:tcW w:w="3816" w:type="dxa"/>
            <w:tcBorders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663EB8" w14:textId="77777777" w:rsidR="000840D0" w:rsidRPr="00456D25" w:rsidRDefault="00000000">
            <w:pPr>
              <w:jc w:val="both"/>
            </w:pPr>
            <w:r w:rsidRPr="00456D25">
              <w:rPr>
                <w:i/>
              </w:rPr>
              <w:t>Caspase-like</w:t>
            </w:r>
            <w:r w:rsidRPr="00456D25">
              <w:t xml:space="preserve"> C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80BA8F" w14:textId="77777777" w:rsidR="000840D0" w:rsidRPr="00456D25" w:rsidRDefault="00000000">
            <w:pPr>
              <w:jc w:val="both"/>
            </w:pPr>
            <w:r w:rsidRPr="00456D25">
              <w:t>−1.248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81F61C" w14:textId="77777777" w:rsidR="000840D0" w:rsidRPr="00456D25" w:rsidRDefault="00000000">
            <w:pPr>
              <w:jc w:val="both"/>
            </w:pPr>
            <w:r w:rsidRPr="00456D25">
              <w:t>0.00111</w:t>
            </w:r>
          </w:p>
        </w:tc>
      </w:tr>
      <w:tr w:rsidR="000840D0" w:rsidRPr="00456D25" w14:paraId="1ED0DC21" w14:textId="77777777">
        <w:trPr>
          <w:jc w:val="center"/>
        </w:trPr>
        <w:tc>
          <w:tcPr>
            <w:tcW w:w="1944" w:type="dxa"/>
            <w:tcBorders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43E919" w14:textId="77777777" w:rsidR="000840D0" w:rsidRPr="00456D25" w:rsidRDefault="00000000">
            <w:pPr>
              <w:jc w:val="both"/>
            </w:pPr>
            <w:r w:rsidRPr="00456D25">
              <w:t>Gill barrier</w:t>
            </w:r>
          </w:p>
        </w:tc>
        <w:tc>
          <w:tcPr>
            <w:tcW w:w="3816" w:type="dxa"/>
            <w:tcBorders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520308" w14:textId="77777777" w:rsidR="000840D0" w:rsidRPr="00456D25" w:rsidRDefault="00000000">
            <w:pPr>
              <w:jc w:val="both"/>
            </w:pPr>
            <w:r w:rsidRPr="00456D25">
              <w:t>SLC4/HCO₃⁻ transporter-like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4AFE10" w14:textId="77777777" w:rsidR="000840D0" w:rsidRPr="00456D25" w:rsidRDefault="00000000">
            <w:pPr>
              <w:jc w:val="both"/>
            </w:pPr>
            <w:r w:rsidRPr="00456D25">
              <w:t>−1.584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01601C" w14:textId="77777777" w:rsidR="000840D0" w:rsidRPr="00456D25" w:rsidRDefault="00000000">
            <w:pPr>
              <w:jc w:val="both"/>
            </w:pPr>
            <w:r w:rsidRPr="00456D25">
              <w:t>1.84 × 10⁻²¹</w:t>
            </w:r>
          </w:p>
        </w:tc>
      </w:tr>
      <w:tr w:rsidR="000840D0" w:rsidRPr="00456D25" w14:paraId="0A733F9F" w14:textId="77777777">
        <w:trPr>
          <w:jc w:val="center"/>
        </w:trPr>
        <w:tc>
          <w:tcPr>
            <w:tcW w:w="1944" w:type="dxa"/>
            <w:tcBorders>
              <w:bottom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999C2E" w14:textId="77777777" w:rsidR="000840D0" w:rsidRPr="00456D25" w:rsidRDefault="00000000">
            <w:pPr>
              <w:jc w:val="both"/>
            </w:pPr>
            <w:r w:rsidRPr="00456D25">
              <w:t>Gill barrier</w:t>
            </w:r>
          </w:p>
        </w:tc>
        <w:tc>
          <w:tcPr>
            <w:tcW w:w="3816" w:type="dxa"/>
            <w:tcBorders>
              <w:bottom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096169" w14:textId="77777777" w:rsidR="000840D0" w:rsidRPr="00456D25" w:rsidRDefault="00000000">
            <w:pPr>
              <w:jc w:val="both"/>
            </w:pPr>
            <w:r w:rsidRPr="00456D25">
              <w:rPr>
                <w:i/>
              </w:rPr>
              <w:t>Aquaporin-like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EAC4AD" w14:textId="77777777" w:rsidR="000840D0" w:rsidRPr="00456D25" w:rsidRDefault="00000000">
            <w:pPr>
              <w:jc w:val="both"/>
            </w:pPr>
            <w:r w:rsidRPr="00456D25">
              <w:t>−2.545</w:t>
            </w:r>
          </w:p>
        </w:tc>
        <w:tc>
          <w:tcPr>
            <w:tcW w:w="1656" w:type="dxa"/>
            <w:tcBorders>
              <w:bottom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87D7EC" w14:textId="77777777" w:rsidR="000840D0" w:rsidRPr="00456D25" w:rsidRDefault="00000000">
            <w:pPr>
              <w:jc w:val="both"/>
            </w:pPr>
            <w:r w:rsidRPr="00456D25">
              <w:t>0.00104</w:t>
            </w:r>
          </w:p>
        </w:tc>
      </w:tr>
    </w:tbl>
    <w:p w14:paraId="025C63CC" w14:textId="77777777" w:rsidR="000840D0" w:rsidRDefault="00000000">
      <w:pPr>
        <w:jc w:val="both"/>
      </w:pPr>
      <w:r w:rsidRPr="00456D25">
        <w:rPr>
          <w:b/>
        </w:rPr>
        <w:t xml:space="preserve">Annotation </w:t>
      </w:r>
      <w:proofErr w:type="gramStart"/>
      <w:r w:rsidRPr="00456D25">
        <w:rPr>
          <w:b/>
        </w:rPr>
        <w:t>note</w:t>
      </w:r>
      <w:proofErr w:type="gramEnd"/>
      <w:r w:rsidRPr="00456D25">
        <w:rPr>
          <w:b/>
        </w:rPr>
        <w:t xml:space="preserve">: </w:t>
      </w:r>
      <w:r w:rsidRPr="00456D25">
        <w:t xml:space="preserve">The suffix “-like” should be retained until </w:t>
      </w:r>
      <w:proofErr w:type="spellStart"/>
      <w:r w:rsidRPr="00456D25">
        <w:t>orthology</w:t>
      </w:r>
      <w:proofErr w:type="spellEnd"/>
      <w:r w:rsidRPr="00456D25">
        <w:t xml:space="preserve"> and standardized gene symbols have been independently verified.</w:t>
      </w:r>
    </w:p>
    <w:sectPr w:rsidR="000840D0" w:rsidSect="009E6796">
      <w:footerReference w:type="default" r:id="rId11"/>
      <w:pgSz w:w="11906" w:h="16838"/>
      <w:pgMar w:top="1440" w:right="1440" w:bottom="1440" w:left="144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8A1830" w14:textId="77777777" w:rsidR="00F622EA" w:rsidRDefault="00F622EA">
      <w:pPr>
        <w:spacing w:line="240" w:lineRule="auto"/>
      </w:pPr>
      <w:r>
        <w:separator/>
      </w:r>
    </w:p>
  </w:endnote>
  <w:endnote w:type="continuationSeparator" w:id="0">
    <w:p w14:paraId="29539C5B" w14:textId="77777777" w:rsidR="00F622EA" w:rsidRDefault="00F622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2070309020205020404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EC4B51" w14:textId="77777777" w:rsidR="000840D0" w:rsidRDefault="00000000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C53BF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1D39C1" w14:textId="77777777" w:rsidR="00F622EA" w:rsidRDefault="00F622EA">
      <w:r>
        <w:separator/>
      </w:r>
    </w:p>
  </w:footnote>
  <w:footnote w:type="continuationSeparator" w:id="0">
    <w:p w14:paraId="694CCF36" w14:textId="77777777" w:rsidR="00F622EA" w:rsidRDefault="00F622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975985175">
    <w:abstractNumId w:val="1"/>
  </w:num>
  <w:num w:numId="2" w16cid:durableId="1762069768">
    <w:abstractNumId w:val="4"/>
  </w:num>
  <w:num w:numId="3" w16cid:durableId="977222295">
    <w:abstractNumId w:val="5"/>
  </w:num>
  <w:num w:numId="4" w16cid:durableId="629672533">
    <w:abstractNumId w:val="2"/>
  </w:num>
  <w:num w:numId="5" w16cid:durableId="162280733">
    <w:abstractNumId w:val="0"/>
  </w:num>
  <w:num w:numId="6" w16cid:durableId="676228408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192E"/>
    <w:rsid w:val="000840D0"/>
    <w:rsid w:val="00117792"/>
    <w:rsid w:val="00123700"/>
    <w:rsid w:val="0015074B"/>
    <w:rsid w:val="00266547"/>
    <w:rsid w:val="0029639D"/>
    <w:rsid w:val="002B76FA"/>
    <w:rsid w:val="00326F90"/>
    <w:rsid w:val="00456D25"/>
    <w:rsid w:val="00462EA7"/>
    <w:rsid w:val="004671FC"/>
    <w:rsid w:val="00473CF9"/>
    <w:rsid w:val="004A03FA"/>
    <w:rsid w:val="00537B7E"/>
    <w:rsid w:val="0055358C"/>
    <w:rsid w:val="005B35C7"/>
    <w:rsid w:val="005D4BA9"/>
    <w:rsid w:val="005D7112"/>
    <w:rsid w:val="005F4C80"/>
    <w:rsid w:val="00707850"/>
    <w:rsid w:val="00866C60"/>
    <w:rsid w:val="008F635E"/>
    <w:rsid w:val="009712B1"/>
    <w:rsid w:val="00971F0A"/>
    <w:rsid w:val="009E6796"/>
    <w:rsid w:val="009F75BF"/>
    <w:rsid w:val="00AA1D8D"/>
    <w:rsid w:val="00AA4AAD"/>
    <w:rsid w:val="00AB6A71"/>
    <w:rsid w:val="00B47730"/>
    <w:rsid w:val="00BA01D3"/>
    <w:rsid w:val="00BD3DA0"/>
    <w:rsid w:val="00BE1FE8"/>
    <w:rsid w:val="00BF68F3"/>
    <w:rsid w:val="00C53BF5"/>
    <w:rsid w:val="00C64DE0"/>
    <w:rsid w:val="00CB0664"/>
    <w:rsid w:val="00D61DEC"/>
    <w:rsid w:val="00D70966"/>
    <w:rsid w:val="00E16BFD"/>
    <w:rsid w:val="00EC2AD3"/>
    <w:rsid w:val="00F1626D"/>
    <w:rsid w:val="00F57059"/>
    <w:rsid w:val="00F622EA"/>
    <w:rsid w:val="00FC693F"/>
    <w:rsid w:val="01BC11B6"/>
    <w:rsid w:val="042477F5"/>
    <w:rsid w:val="09AF761D"/>
    <w:rsid w:val="0DF46805"/>
    <w:rsid w:val="120668A8"/>
    <w:rsid w:val="12DA72C2"/>
    <w:rsid w:val="1BA15893"/>
    <w:rsid w:val="1C5D65CB"/>
    <w:rsid w:val="255120D8"/>
    <w:rsid w:val="2F762E67"/>
    <w:rsid w:val="36215C2E"/>
    <w:rsid w:val="3938118D"/>
    <w:rsid w:val="3CBE070A"/>
    <w:rsid w:val="3EF7239A"/>
    <w:rsid w:val="3F4F441C"/>
    <w:rsid w:val="45202BC7"/>
    <w:rsid w:val="4C231829"/>
    <w:rsid w:val="4CA53D9B"/>
    <w:rsid w:val="546C60FA"/>
    <w:rsid w:val="56D26719"/>
    <w:rsid w:val="58E660B8"/>
    <w:rsid w:val="59DB6984"/>
    <w:rsid w:val="5BFC7795"/>
    <w:rsid w:val="63B374DF"/>
    <w:rsid w:val="64992B79"/>
    <w:rsid w:val="65361804"/>
    <w:rsid w:val="71DE090E"/>
    <w:rsid w:val="740C2CB1"/>
    <w:rsid w:val="75C44506"/>
    <w:rsid w:val="7A3A5D87"/>
    <w:rsid w:val="7AAA357F"/>
    <w:rsid w:val="7EF40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D87563"/>
  <w14:defaultImageDpi w14:val="300"/>
  <w15:docId w15:val="{5F77F0D3-B40E-412F-B21D-8494377B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360" w:lineRule="auto"/>
    </w:pPr>
    <w:rPr>
      <w:rFonts w:ascii="Times New Roman" w:eastAsia="Times New Roman" w:hAnsi="Times New Roman"/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80" w:after="6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20" w:after="60"/>
      <w:outlineLvl w:val="2"/>
    </w:pPr>
    <w:rPr>
      <w:rFonts w:asciiTheme="majorHAnsi" w:eastAsiaTheme="majorEastAsia" w:hAnsiTheme="majorHAnsi" w:cstheme="majorBidi"/>
      <w:b/>
      <w:bCs/>
      <w:i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link w:val="MacroText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</w:rPr>
  </w:style>
  <w:style w:type="paragraph" w:styleId="List3">
    <w:name w:val="List 3"/>
    <w:basedOn w:val="Normal"/>
    <w:uiPriority w:val="99"/>
    <w:unhideWhenUsed/>
    <w:qFormat/>
    <w:pPr>
      <w:ind w:left="1080" w:hanging="360"/>
      <w:contextualSpacing/>
    </w:pPr>
  </w:style>
  <w:style w:type="paragraph" w:styleId="ListNumber2">
    <w:name w:val="List Number 2"/>
    <w:basedOn w:val="Normal"/>
    <w:uiPriority w:val="99"/>
    <w:unhideWhenUsed/>
    <w:qFormat/>
    <w:pPr>
      <w:numPr>
        <w:numId w:val="1"/>
      </w:numPr>
      <w:contextualSpacing/>
    </w:pPr>
  </w:style>
  <w:style w:type="paragraph" w:styleId="ListNumber">
    <w:name w:val="List Number"/>
    <w:basedOn w:val="Normal"/>
    <w:uiPriority w:val="99"/>
    <w:unhideWhenUsed/>
    <w:qFormat/>
    <w:pPr>
      <w:numPr>
        <w:numId w:val="2"/>
      </w:numPr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pPr>
      <w:keepLines/>
      <w:spacing w:before="60" w:after="120"/>
    </w:pPr>
    <w:rPr>
      <w:b/>
      <w:bCs/>
      <w:color w:val="4F81BD" w:themeColor="accent1"/>
      <w:szCs w:val="18"/>
    </w:rPr>
  </w:style>
  <w:style w:type="paragraph" w:styleId="ListBullet">
    <w:name w:val="List Bullet"/>
    <w:basedOn w:val="Normal"/>
    <w:uiPriority w:val="99"/>
    <w:unhideWhenUsed/>
    <w:qFormat/>
    <w:pPr>
      <w:numPr>
        <w:numId w:val="3"/>
      </w:numPr>
      <w:contextualSpacing/>
    </w:pPr>
  </w:style>
  <w:style w:type="paragraph" w:styleId="BodyText3">
    <w:name w:val="Body Text 3"/>
    <w:basedOn w:val="Normal"/>
    <w:link w:val="BodyText3Char"/>
    <w:uiPriority w:val="99"/>
    <w:unhideWhenUsed/>
    <w:qFormat/>
    <w:pPr>
      <w:spacing w:after="120"/>
    </w:pPr>
    <w:rPr>
      <w:sz w:val="16"/>
      <w:szCs w:val="16"/>
    </w:rPr>
  </w:style>
  <w:style w:type="paragraph" w:styleId="ListBullet3">
    <w:name w:val="List Bullet 3"/>
    <w:basedOn w:val="Normal"/>
    <w:uiPriority w:val="99"/>
    <w:unhideWhenUsed/>
    <w:qFormat/>
    <w:pPr>
      <w:numPr>
        <w:numId w:val="4"/>
      </w:numPr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pPr>
      <w:spacing w:after="120"/>
    </w:pPr>
  </w:style>
  <w:style w:type="paragraph" w:styleId="ListNumber3">
    <w:name w:val="List Number 3"/>
    <w:basedOn w:val="Normal"/>
    <w:uiPriority w:val="99"/>
    <w:unhideWhenUsed/>
    <w:qFormat/>
    <w:pPr>
      <w:numPr>
        <w:numId w:val="5"/>
      </w:numPr>
      <w:contextualSpacing/>
    </w:pPr>
  </w:style>
  <w:style w:type="paragraph" w:styleId="List2">
    <w:name w:val="List 2"/>
    <w:basedOn w:val="Normal"/>
    <w:uiPriority w:val="99"/>
    <w:unhideWhenUsed/>
    <w:qFormat/>
    <w:pPr>
      <w:ind w:left="720" w:hanging="360"/>
      <w:contextualSpacing/>
    </w:pPr>
  </w:style>
  <w:style w:type="paragraph" w:styleId="ListContinue">
    <w:name w:val="List Continue"/>
    <w:basedOn w:val="Normal"/>
    <w:uiPriority w:val="99"/>
    <w:unhideWhenUsed/>
    <w:qFormat/>
    <w:pPr>
      <w:spacing w:after="120"/>
      <w:ind w:left="360"/>
      <w:contextualSpacing/>
    </w:pPr>
  </w:style>
  <w:style w:type="paragraph" w:styleId="ListBullet2">
    <w:name w:val="List Bullet 2"/>
    <w:basedOn w:val="Normal"/>
    <w:uiPriority w:val="99"/>
    <w:unhideWhenUsed/>
    <w:qFormat/>
    <w:pPr>
      <w:numPr>
        <w:numId w:val="6"/>
      </w:numPr>
      <w:contextualSpacing/>
    </w:p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List">
    <w:name w:val="List"/>
    <w:basedOn w:val="Normal"/>
    <w:uiPriority w:val="99"/>
    <w:unhideWhenUsed/>
    <w:qFormat/>
    <w:pPr>
      <w:ind w:left="360" w:hanging="360"/>
      <w:contextualSpacing/>
    </w:pPr>
  </w:style>
  <w:style w:type="paragraph" w:styleId="BodyText2">
    <w:name w:val="Body Text 2"/>
    <w:basedOn w:val="Normal"/>
    <w:link w:val="BodyText2Char"/>
    <w:uiPriority w:val="99"/>
    <w:unhideWhenUsed/>
    <w:qFormat/>
    <w:pPr>
      <w:spacing w:after="120" w:line="480" w:lineRule="auto"/>
    </w:pPr>
  </w:style>
  <w:style w:type="paragraph" w:styleId="ListContinue2">
    <w:name w:val="List Continue 2"/>
    <w:basedOn w:val="Normal"/>
    <w:uiPriority w:val="99"/>
    <w:unhideWhenUsed/>
    <w:qFormat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qFormat/>
    <w:pPr>
      <w:spacing w:after="120"/>
      <w:ind w:left="108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pPr>
      <w:keepNext/>
      <w:pBdr>
        <w:bottom w:val="single" w:sz="8" w:space="4" w:color="4F81BD" w:themeColor="accent1"/>
      </w:pBdr>
      <w:spacing w:before="120" w:after="12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Cs w:val="52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LightGrid-Accent1">
    <w:name w:val="Light Grid Accent 1"/>
    <w:basedOn w:val="TableNormal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LightGrid-Accent2">
    <w:name w:val="Light Grid Accent 2"/>
    <w:basedOn w:val="TableNormal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LightGrid-Accent3">
    <w:name w:val="Light Grid Accent 3"/>
    <w:basedOn w:val="TableNormal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LightGrid-Accent4">
    <w:name w:val="Light Grid Accent 4"/>
    <w:basedOn w:val="TableNormal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LightGrid-Accent5">
    <w:name w:val="Light Grid Accent 5"/>
    <w:basedOn w:val="TableNormal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LightGrid-Accent6">
    <w:name w:val="Light Grid Accent 6"/>
    <w:basedOn w:val="TableNormal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NoSpacing">
    <w:name w:val="No Spacing"/>
    <w:uiPriority w:val="1"/>
    <w:qFormat/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qFormat/>
  </w:style>
  <w:style w:type="character" w:customStyle="1" w:styleId="BodyText2Char">
    <w:name w:val="Body Text 2 Char"/>
    <w:basedOn w:val="DefaultParagraphFont"/>
    <w:link w:val="BodyText2"/>
    <w:uiPriority w:val="99"/>
    <w:qFormat/>
  </w:style>
  <w:style w:type="character" w:customStyle="1" w:styleId="BodyText3Char">
    <w:name w:val="Body Text 3 Char"/>
    <w:basedOn w:val="DefaultParagraphFont"/>
    <w:link w:val="BodyText3"/>
    <w:uiPriority w:val="99"/>
    <w:qFormat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qFormat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b/>
      <w:bCs/>
      <w:i/>
      <w:iCs/>
      <w:color w:val="4F81BD" w:themeColor="accent1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7F7F7F" w:themeColor="text1" w:themeTint="80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 w:themeColor="accent1"/>
    </w:rPr>
  </w:style>
  <w:style w:type="character" w:customStyle="1" w:styleId="SubtleReference1">
    <w:name w:val="Subtle Reference1"/>
    <w:basedOn w:val="DefaultParagraphFont"/>
    <w:uiPriority w:val="31"/>
    <w:qFormat/>
    <w:rPr>
      <w:smallCaps/>
      <w:color w:val="C0504D" w:themeColor="accent2"/>
      <w:u w:val="single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BookTitle1">
    <w:name w:val="Book Title1"/>
    <w:basedOn w:val="DefaultParagraphFont"/>
    <w:uiPriority w:val="33"/>
    <w:qFormat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  <w:style w:type="character" w:styleId="LineNumber">
    <w:name w:val="line number"/>
    <w:basedOn w:val="DefaultParagraphFont"/>
    <w:uiPriority w:val="99"/>
    <w:semiHidden/>
    <w:unhideWhenUsed/>
    <w:rsid w:val="00C53BF5"/>
  </w:style>
  <w:style w:type="character" w:styleId="Hyperlink">
    <w:name w:val="Hyperlink"/>
    <w:basedOn w:val="DefaultParagraphFont"/>
    <w:uiPriority w:val="99"/>
    <w:unhideWhenUsed/>
    <w:rsid w:val="00866C6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6C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Tricaine Methanesulfonate Sedation of Xenocypris davidi: Dose Screening and Exploratory Gill Transcriptomic Profiling</vt:lpstr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Tricaine Methanesulfonate Sedation of Xenocypris davidi: Dose Screening and Exploratory Gill Transcriptomic Profiling</dc:title>
  <dc:subject>Original Research Study formatted for the Israeli Journal of Aquaculture–Bamidgeh</dc:subject>
  <dc:creator>Amit Sinha</dc:creator>
  <dc:description>generated by python-docx</dc:description>
  <cp:lastModifiedBy>Benny</cp:lastModifiedBy>
  <cp:revision>3</cp:revision>
  <dcterms:created xsi:type="dcterms:W3CDTF">2026-10-04T11:45:00Z</dcterms:created>
  <dcterms:modified xsi:type="dcterms:W3CDTF">2026-10-04T11:46:00Z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eyJoZGlkIjoiNTBmZmVkZjQ4MDNjZTVhMzQ1MjA0ZTM1ZmFiMjQ4NmEiLCJ1c2VySWQiOiI0ODM3NjY3NjcifQ==</vt:lpwstr>
  </property>
  <property fmtid="{D5CDD505-2E9C-101B-9397-08002B2CF9AE}" pid="3" name="KSOProductBuildVer">
    <vt:lpwstr>2052-12.1.0.21915</vt:lpwstr>
  </property>
  <property fmtid="{D5CDD505-2E9C-101B-9397-08002B2CF9AE}" pid="4" name="ICV">
    <vt:lpwstr>27AF603BEC4C4CEF936F97C3F47952E1_12</vt:lpwstr>
  </property>
  <property fmtid="{D5CDD505-2E9C-101B-9397-08002B2CF9AE}" pid="5" name="GrammarlyDocumentId">
    <vt:lpwstr>06987112-2d6f-43d2-ac66-69ea8464295d</vt:lpwstr>
  </property>
</Properties>
</file>